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DA" w:rsidRPr="00D26DF6" w:rsidRDefault="005135DA" w:rsidP="005135DA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C26259" w:rsidRPr="00D26DF6">
        <w:rPr>
          <w:rFonts w:ascii="Trebuchet MS" w:hAnsi="Trebuchet MS"/>
        </w:rPr>
        <w:t>2</w:t>
      </w:r>
      <w:r w:rsidR="00E47FB3">
        <w:rPr>
          <w:rFonts w:ascii="Trebuchet MS" w:hAnsi="Trebuchet MS"/>
        </w:rPr>
        <w:t>3</w:t>
      </w:r>
      <w:r w:rsidR="00C26259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5135DA" w:rsidRPr="00D26DF6" w:rsidRDefault="005135DA" w:rsidP="005135DA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STINGERE A AVIZULUI DE FIDUCIE INIŢIAL</w:t>
      </w:r>
      <w:r w:rsidRPr="009A1718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  <w:bookmarkStart w:id="0" w:name="_GoBack"/>
      <w:bookmarkEnd w:id="0"/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.. . . . . . . . . . . . . . 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 . . . . . . . . . . . . . . . . . . . . . . . . . . . . . . . . . . . . . . . . . . . . . . . . . . . . . . . . . . . . . . </w:t>
      </w:r>
    </w:p>
    <w:p w:rsidR="00EF76C1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 . . . . . . . . . . . . . . . . . . . . . . . . . . . . . . , ora . . . . . . . . . . . . . . . . . . . . . . . . . . . . . . minutul . . . . . . . . . . . . . . . . . . . . . . . . . . . . . . secunda . . . . . . . . . . . . . . . . . . . . . . . . . . . înscrierii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., domiciliat în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, str. . . . . . . . . . . . . . . . . . . . . . . . . . nr. . . . . . . . . . . . . ., bl. . . . . . . ., sc. . . . . . . ., et. . . . . . . . . . . . . , ap. . . . . . . . . . . ., act de identitate . . . . . . seria . . . . . . . . nr. . . . . . . . . . . . . ., eliberat de . . . . . . . . . . . . . . . . . . . . . la data de . . . . . . . . . . . . . .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., nr. de telefon . . . . . . . . . . . . . . . . . . . . . . . . . . . . . . . . . . . . . . .,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constituitorului □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 □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beneficiarului □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fiduciarului □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stingerea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fiducie</w:t>
      </w:r>
      <w:r w:rsidRPr="009A1718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Înregistrarea încetării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Organul fiscal competent</w:t>
      </w:r>
      <w:r w:rsidRPr="009A1718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Numărul de înregistrare a încetării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 . . 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încetării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 . . . . . . 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persoanei care a solicitat efectuarea înscrierii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5135DA" w:rsidRPr="00D26DF6" w:rsidRDefault="00EF76C1" w:rsidP="00EF76C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5135DA" w:rsidRPr="00D26DF6">
        <w:rPr>
          <w:rFonts w:ascii="Trebuchet MS" w:hAnsi="Trebuchet MS"/>
        </w:rPr>
        <w:t xml:space="preserve">□ Solicitarea de înscriere a avizului de stingere a fost adresată de </w:t>
      </w:r>
      <w:proofErr w:type="spellStart"/>
      <w:r w:rsidR="005135DA" w:rsidRPr="00D26DF6">
        <w:rPr>
          <w:rFonts w:ascii="Trebuchet MS" w:hAnsi="Trebuchet MS"/>
        </w:rPr>
        <w:t>toţi</w:t>
      </w:r>
      <w:proofErr w:type="spellEnd"/>
      <w:r w:rsidR="005135DA" w:rsidRPr="00D26DF6">
        <w:rPr>
          <w:rFonts w:ascii="Trebuchet MS" w:hAnsi="Trebuchet MS"/>
        </w:rPr>
        <w:t xml:space="preserve"> constituitorii/fiduciarii/beneficiarii cu statut activ.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stingere a fost adresată de unul dintre constituitorii/fiduciarii/beneficiarii cu statut activ.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constituitori/fiduciari/beneficiari,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.. . . . . . . . .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5135DA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</w:p>
        </w:tc>
      </w:tr>
      <w:tr w:rsidR="005135DA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35DA" w:rsidRPr="00D26DF6" w:rsidRDefault="005135DA" w:rsidP="00EF76C1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5135DA" w:rsidRPr="00D26DF6" w:rsidRDefault="005135DA" w:rsidP="00EF76C1">
      <w:pPr>
        <w:jc w:val="both"/>
        <w:rPr>
          <w:rFonts w:ascii="Trebuchet MS" w:hAnsi="Trebuchet MS"/>
        </w:rPr>
      </w:pP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9A1718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Solicitarea de înscriere în </w:t>
      </w:r>
      <w:r w:rsidR="00E90427">
        <w:rPr>
          <w:rFonts w:ascii="Trebuchet MS" w:hAnsi="Trebuchet MS"/>
        </w:rPr>
        <w:t>Registru</w:t>
      </w:r>
      <w:r w:rsidR="00E9042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a formularului de aviz de stingere poate fi formulată numai de către constituitor, până la acceptarea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de către beneficiar, iar după acceptarea acesteia, solicitarea poate fi formulată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către beneficiarul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sau de către fiduciar.  </w:t>
      </w:r>
    </w:p>
    <w:p w:rsidR="005135DA" w:rsidRPr="00D26DF6" w:rsidRDefault="005135DA" w:rsidP="00EF76C1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9A1718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(de acceptare, modificator, de prelungire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295059" w:rsidRDefault="005135DA" w:rsidP="00EF76C1">
      <w:pPr>
        <w:jc w:val="both"/>
      </w:pPr>
      <w:r w:rsidRPr="00D26DF6">
        <w:rPr>
          <w:rFonts w:ascii="Trebuchet MS" w:hAnsi="Trebuchet MS"/>
        </w:rPr>
        <w:t>   </w:t>
      </w:r>
      <w:r w:rsidRPr="009A1718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denumirea organului fiscal competent să administreze sumele datorate de fiduciar bugetului general consolidat al statului, potrivit art. 780 </w:t>
      </w:r>
      <w:hyperlink r:id="rId6" w:history="1">
        <w:r w:rsidRPr="009A1718">
          <w:rPr>
            <w:rStyle w:val="Hyperlink"/>
            <w:rFonts w:ascii="Trebuchet MS" w:hAnsi="Trebuchet MS"/>
            <w:color w:val="auto"/>
            <w:u w:val="none"/>
          </w:rPr>
          <w:t>alin. (1)</w:t>
        </w:r>
      </w:hyperlink>
      <w:r w:rsidRPr="00D26DF6">
        <w:rPr>
          <w:rFonts w:ascii="Trebuchet MS" w:hAnsi="Trebuchet MS"/>
        </w:rPr>
        <w:t xml:space="preserve"> din Codul civil.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3F" w:rsidRDefault="00112E3F" w:rsidP="005135DA">
      <w:pPr>
        <w:spacing w:after="0" w:line="240" w:lineRule="auto"/>
      </w:pPr>
      <w:r>
        <w:separator/>
      </w:r>
    </w:p>
  </w:endnote>
  <w:endnote w:type="continuationSeparator" w:id="0">
    <w:p w:rsidR="00112E3F" w:rsidRDefault="00112E3F" w:rsidP="005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327436"/>
      <w:docPartObj>
        <w:docPartGallery w:val="Page Numbers (Bottom of Page)"/>
        <w:docPartUnique/>
      </w:docPartObj>
    </w:sdtPr>
    <w:sdtEndPr/>
    <w:sdtContent>
      <w:p w:rsidR="005135DA" w:rsidRDefault="005135DA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23">
          <w:rPr>
            <w:noProof/>
          </w:rPr>
          <w:t>1</w:t>
        </w:r>
        <w:r>
          <w:fldChar w:fldCharType="end"/>
        </w:r>
      </w:p>
    </w:sdtContent>
  </w:sdt>
  <w:p w:rsidR="005135DA" w:rsidRDefault="005135D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3F" w:rsidRDefault="00112E3F" w:rsidP="005135DA">
      <w:pPr>
        <w:spacing w:after="0" w:line="240" w:lineRule="auto"/>
      </w:pPr>
      <w:r>
        <w:separator/>
      </w:r>
    </w:p>
  </w:footnote>
  <w:footnote w:type="continuationSeparator" w:id="0">
    <w:p w:rsidR="00112E3F" w:rsidRDefault="00112E3F" w:rsidP="0051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1A"/>
    <w:rsid w:val="00112E3F"/>
    <w:rsid w:val="00295059"/>
    <w:rsid w:val="003B09CA"/>
    <w:rsid w:val="005135DA"/>
    <w:rsid w:val="00615F2E"/>
    <w:rsid w:val="0067511A"/>
    <w:rsid w:val="00722C31"/>
    <w:rsid w:val="00796D4E"/>
    <w:rsid w:val="007C1523"/>
    <w:rsid w:val="0099796C"/>
    <w:rsid w:val="009A1718"/>
    <w:rsid w:val="00BE3B91"/>
    <w:rsid w:val="00C14C70"/>
    <w:rsid w:val="00C21421"/>
    <w:rsid w:val="00C26259"/>
    <w:rsid w:val="00E47FB3"/>
    <w:rsid w:val="00E90427"/>
    <w:rsid w:val="00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2A91-31F5-4EF2-B5A1-A746547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135DA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1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35DA"/>
  </w:style>
  <w:style w:type="paragraph" w:styleId="Subsol">
    <w:name w:val="footer"/>
    <w:basedOn w:val="Normal"/>
    <w:link w:val="SubsolCaracter"/>
    <w:uiPriority w:val="99"/>
    <w:unhideWhenUsed/>
    <w:rsid w:val="0051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495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2019-01-25T08:30:00Z</dcterms:created>
  <dcterms:modified xsi:type="dcterms:W3CDTF">2019-03-04T13:11:00Z</dcterms:modified>
</cp:coreProperties>
</file>